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98" w:rsidRPr="00A045F1" w:rsidRDefault="00E5434F" w:rsidP="00E5434F">
      <w:pPr>
        <w:jc w:val="center"/>
        <w:rPr>
          <w:rFonts w:cstheme="minorHAnsi"/>
          <w:b/>
          <w:caps/>
        </w:rPr>
      </w:pPr>
      <w:bookmarkStart w:id="0" w:name="_GoBack"/>
      <w:bookmarkEnd w:id="0"/>
      <w:r w:rsidRPr="00A045F1">
        <w:rPr>
          <w:rFonts w:cstheme="minorHAnsi"/>
          <w:b/>
          <w:caps/>
        </w:rPr>
        <w:t>A</w:t>
      </w:r>
      <w:r w:rsidR="005A3498" w:rsidRPr="00A045F1">
        <w:rPr>
          <w:rFonts w:cstheme="minorHAnsi"/>
          <w:b/>
          <w:caps/>
        </w:rPr>
        <w:t>ccreditation recommendation on auxiliary enterprises</w:t>
      </w:r>
    </w:p>
    <w:p w:rsidR="005A3498" w:rsidRPr="00A045F1" w:rsidRDefault="00E5434F" w:rsidP="00E5434F">
      <w:pPr>
        <w:jc w:val="center"/>
        <w:rPr>
          <w:rFonts w:cstheme="minorHAnsi"/>
          <w:b/>
        </w:rPr>
      </w:pPr>
      <w:r w:rsidRPr="00A045F1">
        <w:rPr>
          <w:rFonts w:cstheme="minorHAnsi"/>
          <w:b/>
        </w:rPr>
        <w:t>EPC 4-23-13</w:t>
      </w:r>
    </w:p>
    <w:p w:rsidR="005A3498" w:rsidRPr="00A045F1" w:rsidRDefault="005A3498" w:rsidP="002124CB">
      <w:pPr>
        <w:rPr>
          <w:rFonts w:cstheme="minorHAnsi"/>
        </w:rPr>
      </w:pPr>
    </w:p>
    <w:p w:rsidR="00A045F1" w:rsidRPr="00A045F1" w:rsidRDefault="00A045F1" w:rsidP="002124CB">
      <w:pPr>
        <w:rPr>
          <w:rFonts w:cstheme="minorHAnsi"/>
          <w:b/>
          <w:caps/>
        </w:rPr>
      </w:pPr>
    </w:p>
    <w:p w:rsidR="002124CB" w:rsidRPr="00A045F1" w:rsidRDefault="002124CB" w:rsidP="002124CB">
      <w:pPr>
        <w:rPr>
          <w:rFonts w:cstheme="minorHAnsi"/>
          <w:b/>
          <w:caps/>
        </w:rPr>
      </w:pPr>
      <w:r w:rsidRPr="00A045F1">
        <w:rPr>
          <w:rFonts w:cstheme="minorHAnsi"/>
          <w:b/>
          <w:caps/>
        </w:rPr>
        <w:t>NWCCU Standard</w:t>
      </w:r>
    </w:p>
    <w:p w:rsidR="002124CB" w:rsidRPr="00A045F1" w:rsidRDefault="002124CB" w:rsidP="002124CB">
      <w:pPr>
        <w:rPr>
          <w:rFonts w:cstheme="minorHAnsi"/>
        </w:rPr>
      </w:pPr>
      <w:proofErr w:type="gramStart"/>
      <w:r w:rsidRPr="00A045F1">
        <w:rPr>
          <w:rFonts w:cstheme="minorHAnsi"/>
        </w:rPr>
        <w:t>2.F.6</w:t>
      </w:r>
      <w:proofErr w:type="gramEnd"/>
      <w:r w:rsidRPr="00A045F1">
        <w:rPr>
          <w:rFonts w:cstheme="minorHAnsi"/>
        </w:rPr>
        <w:t xml:space="preserve"> The institution defines the financial relationship between its general operations and its auxiliary enterprises, including any use of general operations funds to support auxiliary enterprises or the use of funds from auxiliary services to support general operations.</w:t>
      </w:r>
    </w:p>
    <w:p w:rsidR="005A3498" w:rsidRPr="00A045F1" w:rsidRDefault="005A3498" w:rsidP="002124CB">
      <w:pPr>
        <w:rPr>
          <w:rFonts w:cstheme="minorHAnsi"/>
        </w:rPr>
      </w:pPr>
    </w:p>
    <w:p w:rsidR="00E5434F" w:rsidRPr="00A045F1" w:rsidRDefault="00E5434F" w:rsidP="002124CB">
      <w:pPr>
        <w:rPr>
          <w:rFonts w:cstheme="minorHAnsi"/>
          <w:b/>
        </w:rPr>
      </w:pPr>
      <w:r w:rsidRPr="00A045F1">
        <w:rPr>
          <w:rFonts w:cstheme="minorHAnsi"/>
          <w:b/>
        </w:rPr>
        <w:t>ACCREDITATION RECOMMENDATION #3</w:t>
      </w:r>
    </w:p>
    <w:p w:rsidR="00E5434F" w:rsidRPr="00A045F1" w:rsidRDefault="00E5434F" w:rsidP="002124CB">
      <w:pPr>
        <w:rPr>
          <w:rFonts w:cstheme="minorHAnsi"/>
        </w:rPr>
      </w:pPr>
      <w:r w:rsidRPr="00A045F1">
        <w:rPr>
          <w:rFonts w:cstheme="minorHAnsi"/>
        </w:rPr>
        <w:t xml:space="preserve">The </w:t>
      </w:r>
      <w:r w:rsidR="00A045F1" w:rsidRPr="00A045F1">
        <w:rPr>
          <w:rFonts w:cstheme="minorHAnsi"/>
        </w:rPr>
        <w:t>Committee</w:t>
      </w:r>
      <w:r w:rsidRPr="00A045F1">
        <w:rPr>
          <w:rFonts w:cstheme="minorHAnsi"/>
        </w:rPr>
        <w:t xml:space="preserve"> recommends that the </w:t>
      </w:r>
      <w:r w:rsidR="00A045F1" w:rsidRPr="00A045F1">
        <w:rPr>
          <w:rFonts w:cstheme="minorHAnsi"/>
        </w:rPr>
        <w:t>College</w:t>
      </w:r>
      <w:r w:rsidRPr="00A045F1">
        <w:rPr>
          <w:rFonts w:cstheme="minorHAnsi"/>
        </w:rPr>
        <w:t xml:space="preserve"> take immediate action to formally define the financial relationship between its general operations and its </w:t>
      </w:r>
      <w:r w:rsidR="00A045F1" w:rsidRPr="00A045F1">
        <w:rPr>
          <w:rFonts w:cstheme="minorHAnsi"/>
        </w:rPr>
        <w:t>auxiliary</w:t>
      </w:r>
      <w:r w:rsidRPr="00A045F1">
        <w:rPr>
          <w:rFonts w:cstheme="minorHAnsi"/>
        </w:rPr>
        <w:t xml:space="preserve"> enterprises.</w:t>
      </w:r>
    </w:p>
    <w:p w:rsidR="00E5434F" w:rsidRPr="00A045F1" w:rsidRDefault="00E5434F" w:rsidP="002124CB">
      <w:pPr>
        <w:rPr>
          <w:rFonts w:cstheme="minorHAnsi"/>
        </w:rPr>
      </w:pPr>
    </w:p>
    <w:p w:rsidR="00E5434F" w:rsidRPr="00A045F1" w:rsidRDefault="00E5434F" w:rsidP="002124CB">
      <w:pPr>
        <w:rPr>
          <w:rFonts w:cstheme="minorHAnsi"/>
          <w:b/>
          <w:caps/>
        </w:rPr>
      </w:pPr>
      <w:r w:rsidRPr="00A045F1">
        <w:rPr>
          <w:rFonts w:cstheme="minorHAnsi"/>
          <w:b/>
          <w:caps/>
        </w:rPr>
        <w:t>What are auxilliary entrprises?</w:t>
      </w:r>
    </w:p>
    <w:p w:rsidR="00A045F1" w:rsidRDefault="00797CFF" w:rsidP="00A045F1">
      <w:pPr>
        <w:rPr>
          <w:rFonts w:cs="Arial"/>
        </w:rPr>
      </w:pPr>
      <w:r w:rsidRPr="00A045F1">
        <w:rPr>
          <w:rFonts w:cs="Arial"/>
          <w:color w:val="000000"/>
        </w:rPr>
        <w:t xml:space="preserve">An auxiliary enterprise exists to furnish goods or services to students, faculty, staff, or incidentally to the general public. An auxiliary enterprise also charges a fee directly related to, although not necessarily equal to, the cost of the goods or services. The distinguishing characteristic of an auxiliary enterprise is that it is managed as an essentially self-supporting activity. Examples are residence halls, food services, intercollegiate athletics (only if essentially self-supporting), college stores, faculty clubs, faculty and staff parking, and faculty housing. </w:t>
      </w:r>
    </w:p>
    <w:p w:rsidR="00A045F1" w:rsidRPr="00A045F1" w:rsidRDefault="00A045F1" w:rsidP="00A045F1">
      <w:pPr>
        <w:ind w:firstLine="360"/>
        <w:rPr>
          <w:rFonts w:cs="Arial"/>
        </w:rPr>
      </w:pPr>
      <w:r w:rsidRPr="00A045F1">
        <w:rPr>
          <w:rFonts w:cs="Arial"/>
        </w:rPr>
        <w:t>NACUBO, the National Association of College and University Business Officers</w:t>
      </w:r>
    </w:p>
    <w:p w:rsidR="00797CFF" w:rsidRPr="00A045F1" w:rsidRDefault="00797CFF" w:rsidP="00797CFF">
      <w:pPr>
        <w:rPr>
          <w:rFonts w:cs="Arial"/>
        </w:rPr>
      </w:pPr>
    </w:p>
    <w:p w:rsidR="009343FD" w:rsidRPr="00A045F1" w:rsidRDefault="00506D41" w:rsidP="008D5C76">
      <w:pPr>
        <w:rPr>
          <w:rFonts w:cstheme="minorHAnsi"/>
          <w:b/>
          <w:color w:val="000000"/>
        </w:rPr>
      </w:pPr>
      <w:r w:rsidRPr="00A045F1">
        <w:rPr>
          <w:rFonts w:cstheme="minorHAnsi"/>
          <w:b/>
          <w:color w:val="000000"/>
        </w:rPr>
        <w:t>WHAT ARE CCC’S AUXILLIARY ENTERPRISES?</w:t>
      </w:r>
      <w:r w:rsidR="00D627A7" w:rsidRPr="00A045F1">
        <w:rPr>
          <w:rFonts w:cstheme="minorHAnsi"/>
          <w:b/>
          <w:color w:val="000000"/>
        </w:rPr>
        <w:t xml:space="preserve">  </w:t>
      </w:r>
    </w:p>
    <w:p w:rsidR="00A045F1" w:rsidRPr="00A045F1" w:rsidRDefault="00CE5A51" w:rsidP="002124CB">
      <w:pPr>
        <w:rPr>
          <w:rFonts w:cstheme="minorHAnsi"/>
        </w:rPr>
      </w:pPr>
      <w:r w:rsidRPr="00A045F1">
        <w:rPr>
          <w:rFonts w:cstheme="minorHAnsi"/>
          <w:color w:val="000000"/>
        </w:rPr>
        <w:t xml:space="preserve">CCC accounts for </w:t>
      </w:r>
      <w:r w:rsidR="008D5C76" w:rsidRPr="00A045F1">
        <w:rPr>
          <w:rFonts w:cstheme="minorHAnsi"/>
        </w:rPr>
        <w:t>auxiliary enterprises</w:t>
      </w:r>
      <w:r w:rsidRPr="00A045F1">
        <w:rPr>
          <w:rFonts w:cstheme="minorHAnsi"/>
        </w:rPr>
        <w:t xml:space="preserve"> in </w:t>
      </w:r>
      <w:r w:rsidR="00D1630E" w:rsidRPr="00A045F1">
        <w:rPr>
          <w:rFonts w:cstheme="minorHAnsi"/>
        </w:rPr>
        <w:t>proprietary</w:t>
      </w:r>
      <w:r w:rsidR="00F44013" w:rsidRPr="00A045F1">
        <w:rPr>
          <w:rFonts w:cstheme="minorHAnsi"/>
        </w:rPr>
        <w:t xml:space="preserve"> </w:t>
      </w:r>
      <w:r w:rsidR="008D5C76" w:rsidRPr="00A045F1">
        <w:rPr>
          <w:rFonts w:cstheme="minorHAnsi"/>
        </w:rPr>
        <w:t>funds.</w:t>
      </w:r>
      <w:r w:rsidR="00D40235" w:rsidRPr="00A045F1">
        <w:rPr>
          <w:rFonts w:cstheme="minorHAnsi"/>
        </w:rPr>
        <w:t xml:space="preserve">  </w:t>
      </w:r>
    </w:p>
    <w:p w:rsidR="00A045F1" w:rsidRPr="00A045F1" w:rsidRDefault="00A045F1" w:rsidP="002124CB">
      <w:pPr>
        <w:rPr>
          <w:rFonts w:cstheme="minorHAnsi"/>
        </w:rPr>
      </w:pPr>
    </w:p>
    <w:p w:rsidR="00A045F1" w:rsidRPr="00A045F1" w:rsidRDefault="00A045F1" w:rsidP="002124CB">
      <w:pPr>
        <w:rPr>
          <w:rFonts w:cstheme="minorHAnsi"/>
        </w:rPr>
      </w:pPr>
    </w:p>
    <w:p w:rsidR="00A045F1" w:rsidRPr="00A045F1" w:rsidRDefault="00A045F1" w:rsidP="002124CB">
      <w:pPr>
        <w:rPr>
          <w:rFonts w:cstheme="minorHAnsi"/>
        </w:rPr>
      </w:pPr>
    </w:p>
    <w:p w:rsidR="00A045F1" w:rsidRPr="00A045F1" w:rsidRDefault="00A045F1" w:rsidP="002124CB">
      <w:pPr>
        <w:rPr>
          <w:rFonts w:cstheme="minorHAnsi"/>
        </w:rPr>
      </w:pPr>
    </w:p>
    <w:p w:rsidR="00A045F1" w:rsidRPr="00A045F1" w:rsidRDefault="00A045F1" w:rsidP="002124CB">
      <w:pPr>
        <w:rPr>
          <w:rFonts w:cstheme="minorHAnsi"/>
        </w:rPr>
      </w:pPr>
    </w:p>
    <w:p w:rsidR="00A045F1" w:rsidRPr="00A045F1" w:rsidRDefault="00A045F1" w:rsidP="002124CB">
      <w:pPr>
        <w:rPr>
          <w:rFonts w:cstheme="minorHAnsi"/>
        </w:rPr>
      </w:pPr>
    </w:p>
    <w:p w:rsidR="00A045F1" w:rsidRPr="00A045F1" w:rsidRDefault="00A045F1" w:rsidP="002124CB">
      <w:pPr>
        <w:rPr>
          <w:rFonts w:cstheme="minorHAnsi"/>
        </w:rPr>
      </w:pPr>
    </w:p>
    <w:p w:rsidR="00A045F1" w:rsidRPr="00A045F1" w:rsidRDefault="00A045F1" w:rsidP="002124CB">
      <w:pPr>
        <w:rPr>
          <w:rFonts w:cstheme="minorHAnsi"/>
        </w:rPr>
      </w:pPr>
    </w:p>
    <w:p w:rsidR="00A045F1" w:rsidRPr="00A045F1" w:rsidRDefault="00A045F1" w:rsidP="002124CB">
      <w:pPr>
        <w:rPr>
          <w:rFonts w:cstheme="minorHAnsi"/>
        </w:rPr>
      </w:pPr>
      <w:r w:rsidRPr="00A045F1">
        <w:rPr>
          <w:rFonts w:cstheme="minorHAnsi"/>
        </w:rPr>
        <w:br w:type="page"/>
      </w:r>
    </w:p>
    <w:p w:rsidR="00A045F1" w:rsidRPr="00A045F1" w:rsidRDefault="00A045F1" w:rsidP="002124CB">
      <w:pPr>
        <w:rPr>
          <w:rFonts w:cstheme="minorHAnsi"/>
        </w:rPr>
        <w:sectPr w:rsidR="00A045F1" w:rsidRPr="00A045F1" w:rsidSect="009343FD">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p>
    <w:p w:rsidR="00822733" w:rsidRPr="00A045F1" w:rsidRDefault="00822733" w:rsidP="002124CB">
      <w:pPr>
        <w:rPr>
          <w:rFonts w:cstheme="minorHAnsi"/>
        </w:rPr>
      </w:pPr>
    </w:p>
    <w:tbl>
      <w:tblPr>
        <w:tblStyle w:val="TableGrid"/>
        <w:tblW w:w="13518" w:type="dxa"/>
        <w:tblLook w:val="04A0" w:firstRow="1" w:lastRow="0" w:firstColumn="1" w:lastColumn="0" w:noHBand="0" w:noVBand="1"/>
      </w:tblPr>
      <w:tblGrid>
        <w:gridCol w:w="2268"/>
        <w:gridCol w:w="2430"/>
        <w:gridCol w:w="2610"/>
        <w:gridCol w:w="2880"/>
        <w:gridCol w:w="3330"/>
      </w:tblGrid>
      <w:tr w:rsidR="00D27634" w:rsidRPr="00A045F1" w:rsidTr="00E2006C">
        <w:tc>
          <w:tcPr>
            <w:tcW w:w="2268" w:type="dxa"/>
          </w:tcPr>
          <w:p w:rsidR="00D27634" w:rsidRPr="00A045F1" w:rsidRDefault="00D27634" w:rsidP="00D13EE8">
            <w:pPr>
              <w:rPr>
                <w:rFonts w:cstheme="minorHAnsi"/>
                <w:b/>
                <w:color w:val="000000"/>
              </w:rPr>
            </w:pPr>
          </w:p>
        </w:tc>
        <w:tc>
          <w:tcPr>
            <w:tcW w:w="7920" w:type="dxa"/>
            <w:gridSpan w:val="3"/>
          </w:tcPr>
          <w:p w:rsidR="00D27634" w:rsidRPr="00A045F1" w:rsidRDefault="00506D41" w:rsidP="00506D41">
            <w:pPr>
              <w:jc w:val="center"/>
              <w:rPr>
                <w:rFonts w:cstheme="minorHAnsi"/>
                <w:b/>
              </w:rPr>
            </w:pPr>
            <w:r w:rsidRPr="00A045F1">
              <w:rPr>
                <w:rFonts w:cstheme="minorHAnsi"/>
                <w:b/>
                <w:color w:val="000000"/>
              </w:rPr>
              <w:t>FINANCIAL POLICIES FOR ENTERPRISE FUNDS</w:t>
            </w:r>
          </w:p>
        </w:tc>
        <w:tc>
          <w:tcPr>
            <w:tcW w:w="3330" w:type="dxa"/>
          </w:tcPr>
          <w:p w:rsidR="00D27634" w:rsidRPr="00A045F1" w:rsidRDefault="00D27634" w:rsidP="00D13EE8">
            <w:pPr>
              <w:rPr>
                <w:rFonts w:cstheme="minorHAnsi"/>
                <w:b/>
              </w:rPr>
            </w:pPr>
          </w:p>
        </w:tc>
      </w:tr>
      <w:tr w:rsidR="00D13EE8" w:rsidRPr="00A045F1" w:rsidTr="00197B8D">
        <w:tc>
          <w:tcPr>
            <w:tcW w:w="2268" w:type="dxa"/>
          </w:tcPr>
          <w:p w:rsidR="00D13EE8" w:rsidRPr="00A045F1" w:rsidRDefault="00D13EE8" w:rsidP="00D13EE8">
            <w:pPr>
              <w:rPr>
                <w:rFonts w:cstheme="minorHAnsi"/>
                <w:b/>
                <w:color w:val="000000"/>
              </w:rPr>
            </w:pPr>
          </w:p>
        </w:tc>
        <w:tc>
          <w:tcPr>
            <w:tcW w:w="2430" w:type="dxa"/>
          </w:tcPr>
          <w:p w:rsidR="00D13EE8" w:rsidRPr="00A045F1" w:rsidRDefault="00D13EE8" w:rsidP="00971360">
            <w:pPr>
              <w:rPr>
                <w:rFonts w:cstheme="minorHAnsi"/>
                <w:b/>
                <w:color w:val="000000"/>
              </w:rPr>
            </w:pPr>
            <w:r w:rsidRPr="00A045F1">
              <w:rPr>
                <w:rFonts w:cstheme="minorHAnsi"/>
                <w:b/>
                <w:color w:val="000000"/>
              </w:rPr>
              <w:t>Bookstore Fund 52</w:t>
            </w:r>
          </w:p>
        </w:tc>
        <w:tc>
          <w:tcPr>
            <w:tcW w:w="2610" w:type="dxa"/>
          </w:tcPr>
          <w:p w:rsidR="00D13EE8" w:rsidRPr="00A045F1" w:rsidRDefault="00D13EE8" w:rsidP="00971360">
            <w:pPr>
              <w:rPr>
                <w:rFonts w:cstheme="minorHAnsi"/>
                <w:b/>
                <w:color w:val="000000"/>
              </w:rPr>
            </w:pPr>
            <w:r w:rsidRPr="00A045F1">
              <w:rPr>
                <w:rFonts w:cstheme="minorHAnsi"/>
                <w:b/>
                <w:color w:val="000000"/>
              </w:rPr>
              <w:t>Technical Mechanical Fund 53</w:t>
            </w:r>
          </w:p>
        </w:tc>
        <w:tc>
          <w:tcPr>
            <w:tcW w:w="2880" w:type="dxa"/>
          </w:tcPr>
          <w:p w:rsidR="00D13EE8" w:rsidRPr="00A045F1" w:rsidRDefault="00D1630E" w:rsidP="00D13EE8">
            <w:pPr>
              <w:rPr>
                <w:rFonts w:cstheme="minorHAnsi"/>
                <w:b/>
              </w:rPr>
            </w:pPr>
            <w:r w:rsidRPr="00A045F1">
              <w:rPr>
                <w:rFonts w:cstheme="minorHAnsi"/>
                <w:b/>
              </w:rPr>
              <w:t>Customized</w:t>
            </w:r>
            <w:r w:rsidR="002436F9" w:rsidRPr="00A045F1">
              <w:rPr>
                <w:rFonts w:cstheme="minorHAnsi"/>
                <w:b/>
              </w:rPr>
              <w:t xml:space="preserve"> Training Fund 54</w:t>
            </w:r>
          </w:p>
        </w:tc>
        <w:tc>
          <w:tcPr>
            <w:tcW w:w="3330" w:type="dxa"/>
          </w:tcPr>
          <w:p w:rsidR="00D13EE8" w:rsidRPr="00A045F1" w:rsidRDefault="00D13EE8" w:rsidP="00D13EE8">
            <w:pPr>
              <w:rPr>
                <w:rFonts w:cstheme="minorHAnsi"/>
                <w:b/>
                <w:highlight w:val="yellow"/>
              </w:rPr>
            </w:pPr>
            <w:r w:rsidRPr="00A045F1">
              <w:rPr>
                <w:rFonts w:cstheme="minorHAnsi"/>
                <w:b/>
              </w:rPr>
              <w:t>Internal Service Fund 41</w:t>
            </w:r>
          </w:p>
        </w:tc>
      </w:tr>
      <w:tr w:rsidR="00797CFF" w:rsidRPr="00A045F1" w:rsidTr="00197B8D">
        <w:tc>
          <w:tcPr>
            <w:tcW w:w="2268" w:type="dxa"/>
          </w:tcPr>
          <w:p w:rsidR="00797CFF" w:rsidRPr="00A045F1" w:rsidRDefault="00797CFF" w:rsidP="00D13EE8">
            <w:pPr>
              <w:rPr>
                <w:rFonts w:cstheme="minorHAnsi"/>
                <w:color w:val="000000"/>
              </w:rPr>
            </w:pPr>
            <w:r w:rsidRPr="00A045F1">
              <w:rPr>
                <w:rFonts w:cstheme="minorHAnsi"/>
                <w:color w:val="000000"/>
              </w:rPr>
              <w:t>Source of revenue</w:t>
            </w:r>
          </w:p>
        </w:tc>
        <w:tc>
          <w:tcPr>
            <w:tcW w:w="2430" w:type="dxa"/>
          </w:tcPr>
          <w:p w:rsidR="00797CFF" w:rsidRPr="00A045F1" w:rsidRDefault="00564707" w:rsidP="00564707">
            <w:pPr>
              <w:rPr>
                <w:rFonts w:cstheme="minorHAnsi"/>
                <w:color w:val="000000"/>
              </w:rPr>
            </w:pPr>
            <w:r w:rsidRPr="00A045F1">
              <w:rPr>
                <w:rFonts w:cstheme="minorHAnsi"/>
                <w:color w:val="000000"/>
              </w:rPr>
              <w:t>Sales to students and the general public, with incidental sales to departments for college use</w:t>
            </w:r>
            <w:r w:rsidR="00A045F1" w:rsidRPr="00A045F1">
              <w:rPr>
                <w:rFonts w:cstheme="minorHAnsi"/>
                <w:color w:val="000000"/>
              </w:rPr>
              <w:t>.</w:t>
            </w:r>
          </w:p>
        </w:tc>
        <w:tc>
          <w:tcPr>
            <w:tcW w:w="2610" w:type="dxa"/>
          </w:tcPr>
          <w:p w:rsidR="00797CFF" w:rsidRPr="00A045F1" w:rsidRDefault="00564707" w:rsidP="00971360">
            <w:pPr>
              <w:rPr>
                <w:rFonts w:cstheme="minorHAnsi"/>
                <w:color w:val="000000"/>
              </w:rPr>
            </w:pPr>
            <w:r w:rsidRPr="00A045F1">
              <w:rPr>
                <w:rFonts w:cstheme="minorHAnsi"/>
                <w:color w:val="000000"/>
              </w:rPr>
              <w:t>Sales to students and the general public, with incidental sales to departments for college use</w:t>
            </w:r>
            <w:r w:rsidR="00A045F1" w:rsidRPr="00A045F1">
              <w:rPr>
                <w:rFonts w:cstheme="minorHAnsi"/>
                <w:color w:val="000000"/>
              </w:rPr>
              <w:t>.</w:t>
            </w:r>
          </w:p>
        </w:tc>
        <w:tc>
          <w:tcPr>
            <w:tcW w:w="2880" w:type="dxa"/>
          </w:tcPr>
          <w:p w:rsidR="00797CFF" w:rsidRPr="00A045F1" w:rsidRDefault="00506D41" w:rsidP="00D13EE8">
            <w:pPr>
              <w:rPr>
                <w:rFonts w:cstheme="minorHAnsi"/>
              </w:rPr>
            </w:pPr>
            <w:r w:rsidRPr="00A045F1">
              <w:rPr>
                <w:rFonts w:cstheme="minorHAnsi"/>
              </w:rPr>
              <w:t>Charges for contracted training</w:t>
            </w:r>
            <w:r w:rsidR="00A045F1" w:rsidRPr="00A045F1">
              <w:rPr>
                <w:rFonts w:cstheme="minorHAnsi"/>
              </w:rPr>
              <w:t>.</w:t>
            </w:r>
          </w:p>
        </w:tc>
        <w:tc>
          <w:tcPr>
            <w:tcW w:w="3330" w:type="dxa"/>
          </w:tcPr>
          <w:p w:rsidR="00797CFF" w:rsidRPr="00A045F1" w:rsidRDefault="00506D41" w:rsidP="00D13EE8">
            <w:pPr>
              <w:rPr>
                <w:rFonts w:cstheme="minorHAnsi"/>
              </w:rPr>
            </w:pPr>
            <w:r w:rsidRPr="00A045F1">
              <w:rPr>
                <w:rFonts w:cstheme="minorHAnsi"/>
              </w:rPr>
              <w:t>Charges to college departments for centralized duplication, copiers in individual buildings, motor pool vehicles, and fuel</w:t>
            </w:r>
          </w:p>
        </w:tc>
      </w:tr>
      <w:tr w:rsidR="00822733" w:rsidRPr="00A045F1" w:rsidTr="00197B8D">
        <w:tc>
          <w:tcPr>
            <w:tcW w:w="2268" w:type="dxa"/>
          </w:tcPr>
          <w:p w:rsidR="00822733" w:rsidRPr="00A045F1" w:rsidRDefault="00822733" w:rsidP="00D13EE8">
            <w:pPr>
              <w:rPr>
                <w:rFonts w:cstheme="minorHAnsi"/>
                <w:color w:val="000000"/>
              </w:rPr>
            </w:pPr>
            <w:r w:rsidRPr="00A045F1">
              <w:rPr>
                <w:rFonts w:cstheme="minorHAnsi"/>
                <w:color w:val="000000"/>
              </w:rPr>
              <w:t>Direct cost of operations</w:t>
            </w:r>
          </w:p>
        </w:tc>
        <w:tc>
          <w:tcPr>
            <w:tcW w:w="2430" w:type="dxa"/>
          </w:tcPr>
          <w:p w:rsidR="00822733" w:rsidRPr="00A045F1" w:rsidRDefault="002436F9" w:rsidP="00D27634">
            <w:pPr>
              <w:rPr>
                <w:rFonts w:cstheme="minorHAnsi"/>
                <w:color w:val="000000"/>
              </w:rPr>
            </w:pPr>
            <w:r w:rsidRPr="00A045F1">
              <w:rPr>
                <w:rFonts w:cstheme="minorHAnsi"/>
                <w:color w:val="000000"/>
              </w:rPr>
              <w:t>Cover Bookstore staff</w:t>
            </w:r>
            <w:r w:rsidR="00D27634" w:rsidRPr="00A045F1">
              <w:rPr>
                <w:rFonts w:cstheme="minorHAnsi"/>
                <w:color w:val="000000"/>
              </w:rPr>
              <w:t>, cost of goods sold, and other</w:t>
            </w:r>
            <w:r w:rsidRPr="00A045F1">
              <w:rPr>
                <w:rFonts w:cstheme="minorHAnsi"/>
                <w:color w:val="000000"/>
              </w:rPr>
              <w:t xml:space="preserve"> materials and services.</w:t>
            </w:r>
          </w:p>
        </w:tc>
        <w:tc>
          <w:tcPr>
            <w:tcW w:w="2610" w:type="dxa"/>
          </w:tcPr>
          <w:p w:rsidR="00822733" w:rsidRPr="00A045F1" w:rsidRDefault="005F7C4A" w:rsidP="00D13EE8">
            <w:pPr>
              <w:rPr>
                <w:rFonts w:cstheme="minorHAnsi"/>
                <w:color w:val="000000"/>
              </w:rPr>
            </w:pPr>
            <w:r w:rsidRPr="00A045F1">
              <w:rPr>
                <w:rFonts w:cstheme="minorHAnsi"/>
                <w:color w:val="000000"/>
              </w:rPr>
              <w:t>Cover staf</w:t>
            </w:r>
            <w:r w:rsidR="00197B8D" w:rsidRPr="00A045F1">
              <w:rPr>
                <w:rFonts w:cstheme="minorHAnsi"/>
                <w:color w:val="000000"/>
              </w:rPr>
              <w:t>f who maintain parts inventory, and cost of goods sold.</w:t>
            </w:r>
          </w:p>
        </w:tc>
        <w:tc>
          <w:tcPr>
            <w:tcW w:w="2880" w:type="dxa"/>
          </w:tcPr>
          <w:p w:rsidR="00822733" w:rsidRPr="00A045F1" w:rsidRDefault="005F7C4A" w:rsidP="00197B8D">
            <w:pPr>
              <w:rPr>
                <w:rFonts w:cstheme="minorHAnsi"/>
              </w:rPr>
            </w:pPr>
            <w:r w:rsidRPr="00A045F1">
              <w:rPr>
                <w:rFonts w:cstheme="minorHAnsi"/>
              </w:rPr>
              <w:t xml:space="preserve">Cover staff dedicated to </w:t>
            </w:r>
            <w:r w:rsidR="00D1630E" w:rsidRPr="00A045F1">
              <w:rPr>
                <w:rFonts w:cstheme="minorHAnsi"/>
              </w:rPr>
              <w:t>customized</w:t>
            </w:r>
            <w:r w:rsidRPr="00A045F1">
              <w:rPr>
                <w:rFonts w:cstheme="minorHAnsi"/>
              </w:rPr>
              <w:t xml:space="preserve"> training</w:t>
            </w:r>
            <w:r w:rsidR="00197B8D" w:rsidRPr="00A045F1">
              <w:rPr>
                <w:rFonts w:cstheme="minorHAnsi"/>
              </w:rPr>
              <w:t>, and related materials and services.</w:t>
            </w:r>
          </w:p>
        </w:tc>
        <w:tc>
          <w:tcPr>
            <w:tcW w:w="3330" w:type="dxa"/>
          </w:tcPr>
          <w:p w:rsidR="00822733" w:rsidRPr="00A045F1" w:rsidRDefault="00197B8D" w:rsidP="00506D41">
            <w:pPr>
              <w:rPr>
                <w:rFonts w:cstheme="minorHAnsi"/>
              </w:rPr>
            </w:pPr>
            <w:r w:rsidRPr="00A045F1">
              <w:rPr>
                <w:rFonts w:cstheme="minorHAnsi"/>
              </w:rPr>
              <w:t xml:space="preserve">Cover staff in centralized duplication.  Cover materials and services, such as copier </w:t>
            </w:r>
            <w:r w:rsidR="00D1630E" w:rsidRPr="00A045F1">
              <w:rPr>
                <w:rFonts w:cstheme="minorHAnsi"/>
              </w:rPr>
              <w:t>maintenance</w:t>
            </w:r>
            <w:r w:rsidRPr="00A045F1">
              <w:rPr>
                <w:rFonts w:cstheme="minorHAnsi"/>
              </w:rPr>
              <w:t xml:space="preserve"> agreements and vehicle repair and maintenance.</w:t>
            </w:r>
          </w:p>
        </w:tc>
      </w:tr>
      <w:tr w:rsidR="00822733" w:rsidRPr="00A045F1" w:rsidTr="00197B8D">
        <w:tc>
          <w:tcPr>
            <w:tcW w:w="2268" w:type="dxa"/>
          </w:tcPr>
          <w:p w:rsidR="00822733" w:rsidRPr="00A045F1" w:rsidRDefault="00822733" w:rsidP="00D13EE8">
            <w:pPr>
              <w:rPr>
                <w:rFonts w:cstheme="minorHAnsi"/>
                <w:color w:val="000000"/>
              </w:rPr>
            </w:pPr>
            <w:r w:rsidRPr="00A045F1">
              <w:rPr>
                <w:rFonts w:cstheme="minorHAnsi"/>
                <w:color w:val="000000"/>
              </w:rPr>
              <w:t>Capital costs</w:t>
            </w:r>
          </w:p>
        </w:tc>
        <w:tc>
          <w:tcPr>
            <w:tcW w:w="2430" w:type="dxa"/>
          </w:tcPr>
          <w:p w:rsidR="00822733" w:rsidRPr="00A045F1" w:rsidRDefault="002436F9" w:rsidP="002436F9">
            <w:pPr>
              <w:rPr>
                <w:rFonts w:cstheme="minorHAnsi"/>
                <w:color w:val="000000"/>
              </w:rPr>
            </w:pPr>
            <w:r w:rsidRPr="00A045F1">
              <w:rPr>
                <w:rFonts w:cstheme="minorHAnsi"/>
                <w:color w:val="000000"/>
              </w:rPr>
              <w:t>Cover e</w:t>
            </w:r>
            <w:r w:rsidR="00822733" w:rsidRPr="00A045F1">
              <w:rPr>
                <w:rFonts w:cstheme="minorHAnsi"/>
                <w:color w:val="000000"/>
              </w:rPr>
              <w:t>quipment specific to the Bookstore, such as</w:t>
            </w:r>
            <w:r w:rsidRPr="00A045F1">
              <w:rPr>
                <w:rFonts w:cstheme="minorHAnsi"/>
                <w:color w:val="000000"/>
              </w:rPr>
              <w:t xml:space="preserve"> </w:t>
            </w:r>
            <w:r w:rsidR="00D27634" w:rsidRPr="00A045F1">
              <w:rPr>
                <w:rFonts w:cstheme="minorHAnsi"/>
                <w:color w:val="000000"/>
              </w:rPr>
              <w:t xml:space="preserve">the </w:t>
            </w:r>
            <w:r w:rsidRPr="00A045F1">
              <w:rPr>
                <w:rFonts w:cstheme="minorHAnsi"/>
                <w:color w:val="000000"/>
              </w:rPr>
              <w:t xml:space="preserve">MBS software, shelving, </w:t>
            </w:r>
            <w:r w:rsidR="00822733" w:rsidRPr="00A045F1">
              <w:rPr>
                <w:rFonts w:cstheme="minorHAnsi"/>
                <w:color w:val="000000"/>
              </w:rPr>
              <w:t xml:space="preserve">and security </w:t>
            </w:r>
            <w:r w:rsidRPr="00A045F1">
              <w:rPr>
                <w:rFonts w:cstheme="minorHAnsi"/>
                <w:color w:val="000000"/>
              </w:rPr>
              <w:t>camera</w:t>
            </w:r>
            <w:r w:rsidR="00822733" w:rsidRPr="00A045F1">
              <w:rPr>
                <w:rFonts w:cstheme="minorHAnsi"/>
                <w:color w:val="000000"/>
              </w:rPr>
              <w:t>s.</w:t>
            </w:r>
            <w:r w:rsidR="00D627A7" w:rsidRPr="00A045F1">
              <w:rPr>
                <w:rFonts w:cstheme="minorHAnsi"/>
                <w:color w:val="000000"/>
              </w:rPr>
              <w:t xml:space="preserve">  </w:t>
            </w:r>
          </w:p>
        </w:tc>
        <w:tc>
          <w:tcPr>
            <w:tcW w:w="2610" w:type="dxa"/>
          </w:tcPr>
          <w:p w:rsidR="00822733" w:rsidRPr="00A045F1" w:rsidRDefault="005F7C4A" w:rsidP="00797CFF">
            <w:pPr>
              <w:rPr>
                <w:rFonts w:cstheme="minorHAnsi"/>
                <w:color w:val="000000"/>
              </w:rPr>
            </w:pPr>
            <w:r w:rsidRPr="00A045F1">
              <w:rPr>
                <w:rFonts w:cstheme="minorHAnsi"/>
                <w:color w:val="000000"/>
              </w:rPr>
              <w:t>F</w:t>
            </w:r>
            <w:r w:rsidR="00822733" w:rsidRPr="00A045F1">
              <w:rPr>
                <w:rFonts w:cstheme="minorHAnsi"/>
                <w:color w:val="000000"/>
              </w:rPr>
              <w:t>und balance i</w:t>
            </w:r>
            <w:r w:rsidRPr="00A045F1">
              <w:rPr>
                <w:rFonts w:cstheme="minorHAnsi"/>
                <w:color w:val="000000"/>
              </w:rPr>
              <w:t xml:space="preserve">n excess of working capital needs </w:t>
            </w:r>
            <w:proofErr w:type="gramStart"/>
            <w:r w:rsidRPr="00A045F1">
              <w:rPr>
                <w:rFonts w:cstheme="minorHAnsi"/>
                <w:color w:val="000000"/>
              </w:rPr>
              <w:t xml:space="preserve">is </w:t>
            </w:r>
            <w:r w:rsidR="00822733" w:rsidRPr="00A045F1">
              <w:rPr>
                <w:rFonts w:cstheme="minorHAnsi"/>
                <w:color w:val="000000"/>
              </w:rPr>
              <w:t xml:space="preserve"> earmarked</w:t>
            </w:r>
            <w:proofErr w:type="gramEnd"/>
            <w:r w:rsidR="00822733" w:rsidRPr="00A045F1">
              <w:rPr>
                <w:rFonts w:cstheme="minorHAnsi"/>
                <w:color w:val="000000"/>
              </w:rPr>
              <w:t xml:space="preserve"> for Automotive </w:t>
            </w:r>
            <w:r w:rsidR="00D1630E" w:rsidRPr="00A045F1">
              <w:rPr>
                <w:rFonts w:cstheme="minorHAnsi"/>
                <w:color w:val="000000"/>
              </w:rPr>
              <w:t>instructional</w:t>
            </w:r>
            <w:r w:rsidR="00822733" w:rsidRPr="00A045F1">
              <w:rPr>
                <w:rFonts w:cstheme="minorHAnsi"/>
                <w:color w:val="000000"/>
              </w:rPr>
              <w:t xml:space="preserve"> </w:t>
            </w:r>
            <w:r w:rsidR="00D1630E" w:rsidRPr="00A045F1">
              <w:rPr>
                <w:rFonts w:cstheme="minorHAnsi"/>
                <w:color w:val="000000"/>
              </w:rPr>
              <w:t>equipment</w:t>
            </w:r>
            <w:r w:rsidR="00822733" w:rsidRPr="00A045F1">
              <w:rPr>
                <w:rFonts w:cstheme="minorHAnsi"/>
                <w:color w:val="000000"/>
              </w:rPr>
              <w:t>.</w:t>
            </w:r>
            <w:r w:rsidR="009B74AB" w:rsidRPr="00A045F1">
              <w:rPr>
                <w:rFonts w:cstheme="minorHAnsi"/>
                <w:color w:val="000000"/>
              </w:rPr>
              <w:t xml:space="preserve">  </w:t>
            </w:r>
          </w:p>
        </w:tc>
        <w:tc>
          <w:tcPr>
            <w:tcW w:w="2880" w:type="dxa"/>
          </w:tcPr>
          <w:p w:rsidR="00822733" w:rsidRPr="00A045F1" w:rsidRDefault="005F7C4A" w:rsidP="00D13EE8">
            <w:pPr>
              <w:rPr>
                <w:rFonts w:cstheme="minorHAnsi"/>
              </w:rPr>
            </w:pPr>
            <w:r w:rsidRPr="00A045F1">
              <w:rPr>
                <w:rFonts w:cstheme="minorHAnsi"/>
              </w:rPr>
              <w:t>None.</w:t>
            </w:r>
          </w:p>
        </w:tc>
        <w:tc>
          <w:tcPr>
            <w:tcW w:w="3330" w:type="dxa"/>
          </w:tcPr>
          <w:p w:rsidR="00822733" w:rsidRPr="00A045F1" w:rsidRDefault="00D27634" w:rsidP="00D27634">
            <w:pPr>
              <w:rPr>
                <w:rFonts w:cstheme="minorHAnsi"/>
              </w:rPr>
            </w:pPr>
            <w:r w:rsidRPr="00A045F1">
              <w:rPr>
                <w:rFonts w:cstheme="minorHAnsi"/>
              </w:rPr>
              <w:t xml:space="preserve">Maintain fund balance sufficient cover cost of scheduled replacements of </w:t>
            </w:r>
            <w:r w:rsidR="00197B8D" w:rsidRPr="00A045F1">
              <w:rPr>
                <w:rFonts w:cstheme="minorHAnsi"/>
              </w:rPr>
              <w:t>copier</w:t>
            </w:r>
            <w:r w:rsidRPr="00A045F1">
              <w:rPr>
                <w:rFonts w:cstheme="minorHAnsi"/>
              </w:rPr>
              <w:t>s and motor pool vans over the next four fiscal years.</w:t>
            </w:r>
          </w:p>
        </w:tc>
      </w:tr>
      <w:tr w:rsidR="00822733" w:rsidRPr="00A045F1" w:rsidTr="00197B8D">
        <w:tc>
          <w:tcPr>
            <w:tcW w:w="2268" w:type="dxa"/>
          </w:tcPr>
          <w:p w:rsidR="00822733" w:rsidRPr="00A045F1" w:rsidRDefault="002436F9" w:rsidP="00A045F1">
            <w:pPr>
              <w:rPr>
                <w:rFonts w:cstheme="minorHAnsi"/>
              </w:rPr>
            </w:pPr>
            <w:r w:rsidRPr="00A045F1">
              <w:rPr>
                <w:rFonts w:cstheme="minorHAnsi"/>
              </w:rPr>
              <w:t>U</w:t>
            </w:r>
            <w:r w:rsidR="00D13EE8" w:rsidRPr="00A045F1">
              <w:rPr>
                <w:rFonts w:cstheme="minorHAnsi"/>
              </w:rPr>
              <w:t xml:space="preserve">se of </w:t>
            </w:r>
            <w:r w:rsidR="00A045F1" w:rsidRPr="00A045F1">
              <w:rPr>
                <w:rFonts w:cstheme="minorHAnsi"/>
              </w:rPr>
              <w:t xml:space="preserve">funds from </w:t>
            </w:r>
            <w:r w:rsidR="00D13EE8" w:rsidRPr="00A045F1">
              <w:rPr>
                <w:rFonts w:cstheme="minorHAnsi"/>
              </w:rPr>
              <w:t xml:space="preserve">general operations to support auxiliary enterprises </w:t>
            </w:r>
          </w:p>
        </w:tc>
        <w:tc>
          <w:tcPr>
            <w:tcW w:w="2430" w:type="dxa"/>
          </w:tcPr>
          <w:p w:rsidR="00822733" w:rsidRPr="00A045F1" w:rsidRDefault="002436F9" w:rsidP="00D13EE8">
            <w:pPr>
              <w:rPr>
                <w:rFonts w:cstheme="minorHAnsi"/>
              </w:rPr>
            </w:pPr>
            <w:r w:rsidRPr="00A045F1">
              <w:rPr>
                <w:rFonts w:cstheme="minorHAnsi"/>
              </w:rPr>
              <w:t>None.</w:t>
            </w:r>
          </w:p>
        </w:tc>
        <w:tc>
          <w:tcPr>
            <w:tcW w:w="2610" w:type="dxa"/>
          </w:tcPr>
          <w:p w:rsidR="00822733" w:rsidRPr="00A045F1" w:rsidRDefault="002436F9" w:rsidP="00D13EE8">
            <w:pPr>
              <w:rPr>
                <w:rFonts w:cstheme="minorHAnsi"/>
              </w:rPr>
            </w:pPr>
            <w:r w:rsidRPr="00A045F1">
              <w:rPr>
                <w:rFonts w:cstheme="minorHAnsi"/>
              </w:rPr>
              <w:t>None.</w:t>
            </w:r>
          </w:p>
        </w:tc>
        <w:tc>
          <w:tcPr>
            <w:tcW w:w="2880" w:type="dxa"/>
          </w:tcPr>
          <w:p w:rsidR="00822733" w:rsidRPr="00A045F1" w:rsidRDefault="005F7C4A" w:rsidP="00D13EE8">
            <w:pPr>
              <w:rPr>
                <w:rFonts w:cstheme="minorHAnsi"/>
              </w:rPr>
            </w:pPr>
            <w:r w:rsidRPr="00A045F1">
              <w:rPr>
                <w:rFonts w:cstheme="minorHAnsi"/>
              </w:rPr>
              <w:t>None.</w:t>
            </w:r>
          </w:p>
        </w:tc>
        <w:tc>
          <w:tcPr>
            <w:tcW w:w="3330" w:type="dxa"/>
          </w:tcPr>
          <w:p w:rsidR="00822733" w:rsidRPr="00A045F1" w:rsidRDefault="00197B8D" w:rsidP="00D13EE8">
            <w:pPr>
              <w:rPr>
                <w:rFonts w:cstheme="minorHAnsi"/>
              </w:rPr>
            </w:pPr>
            <w:r w:rsidRPr="00A045F1">
              <w:rPr>
                <w:rFonts w:cstheme="minorHAnsi"/>
              </w:rPr>
              <w:t>None.</w:t>
            </w:r>
          </w:p>
        </w:tc>
      </w:tr>
      <w:tr w:rsidR="00822733" w:rsidRPr="00A045F1" w:rsidTr="00197B8D">
        <w:tc>
          <w:tcPr>
            <w:tcW w:w="2268" w:type="dxa"/>
          </w:tcPr>
          <w:p w:rsidR="00822733" w:rsidRPr="00A045F1" w:rsidRDefault="002436F9" w:rsidP="00A045F1">
            <w:pPr>
              <w:rPr>
                <w:rFonts w:cstheme="minorHAnsi"/>
              </w:rPr>
            </w:pPr>
            <w:r w:rsidRPr="00A045F1">
              <w:rPr>
                <w:rFonts w:cstheme="minorHAnsi"/>
              </w:rPr>
              <w:t>U</w:t>
            </w:r>
            <w:r w:rsidR="00D13EE8" w:rsidRPr="00A045F1">
              <w:rPr>
                <w:rFonts w:cstheme="minorHAnsi"/>
              </w:rPr>
              <w:t xml:space="preserve">se of funds from auxiliary </w:t>
            </w:r>
            <w:r w:rsidR="00A045F1" w:rsidRPr="00A045F1">
              <w:rPr>
                <w:rFonts w:cstheme="minorHAnsi"/>
              </w:rPr>
              <w:t>enterprises</w:t>
            </w:r>
            <w:r w:rsidR="00D13EE8" w:rsidRPr="00A045F1">
              <w:rPr>
                <w:rFonts w:cstheme="minorHAnsi"/>
              </w:rPr>
              <w:t xml:space="preserve"> to support general operations</w:t>
            </w:r>
          </w:p>
        </w:tc>
        <w:tc>
          <w:tcPr>
            <w:tcW w:w="2430" w:type="dxa"/>
          </w:tcPr>
          <w:p w:rsidR="00822733" w:rsidRPr="00A045F1" w:rsidRDefault="00797CFF" w:rsidP="00506D41">
            <w:pPr>
              <w:rPr>
                <w:rFonts w:cstheme="minorHAnsi"/>
              </w:rPr>
            </w:pPr>
            <w:r w:rsidRPr="00A045F1">
              <w:rPr>
                <w:rFonts w:cstheme="minorHAnsi"/>
              </w:rPr>
              <w:t xml:space="preserve">Operating transfer </w:t>
            </w:r>
            <w:r w:rsidR="002436F9" w:rsidRPr="00A045F1">
              <w:rPr>
                <w:rFonts w:cstheme="minorHAnsi"/>
              </w:rPr>
              <w:t xml:space="preserve">to General Fund </w:t>
            </w:r>
            <w:r w:rsidR="00506D41" w:rsidRPr="00A045F1">
              <w:rPr>
                <w:rFonts w:cstheme="minorHAnsi"/>
              </w:rPr>
              <w:t xml:space="preserve">for </w:t>
            </w:r>
            <w:r w:rsidR="002436F9" w:rsidRPr="00A045F1">
              <w:rPr>
                <w:rFonts w:cstheme="minorHAnsi"/>
              </w:rPr>
              <w:t xml:space="preserve">indirect costs such as accounting, utilities and </w:t>
            </w:r>
            <w:r w:rsidR="00D1630E" w:rsidRPr="00A045F1">
              <w:rPr>
                <w:rFonts w:cstheme="minorHAnsi"/>
              </w:rPr>
              <w:t>insurance</w:t>
            </w:r>
            <w:r w:rsidR="002436F9" w:rsidRPr="00A045F1">
              <w:rPr>
                <w:rFonts w:cstheme="minorHAnsi"/>
              </w:rPr>
              <w:t xml:space="preserve">.   </w:t>
            </w:r>
            <w:r w:rsidR="00D27634" w:rsidRPr="00A045F1">
              <w:rPr>
                <w:rFonts w:cstheme="minorHAnsi"/>
              </w:rPr>
              <w:t>The amount of the t</w:t>
            </w:r>
            <w:r w:rsidR="002436F9" w:rsidRPr="00A045F1">
              <w:rPr>
                <w:rFonts w:cstheme="minorHAnsi"/>
              </w:rPr>
              <w:t xml:space="preserve">ransfer is set annually as part </w:t>
            </w:r>
            <w:r w:rsidR="00D1630E" w:rsidRPr="00A045F1">
              <w:rPr>
                <w:rFonts w:cstheme="minorHAnsi"/>
              </w:rPr>
              <w:t>of</w:t>
            </w:r>
            <w:r w:rsidR="002436F9" w:rsidRPr="00A045F1">
              <w:rPr>
                <w:rFonts w:cstheme="minorHAnsi"/>
              </w:rPr>
              <w:t xml:space="preserve"> the budget process.</w:t>
            </w:r>
          </w:p>
        </w:tc>
        <w:tc>
          <w:tcPr>
            <w:tcW w:w="2610" w:type="dxa"/>
          </w:tcPr>
          <w:p w:rsidR="00822733" w:rsidRPr="00A045F1" w:rsidRDefault="005F7C4A" w:rsidP="00D13EE8">
            <w:pPr>
              <w:rPr>
                <w:rFonts w:cstheme="minorHAnsi"/>
              </w:rPr>
            </w:pPr>
            <w:r w:rsidRPr="00A045F1">
              <w:rPr>
                <w:rFonts w:cstheme="minorHAnsi"/>
              </w:rPr>
              <w:t>None.</w:t>
            </w:r>
          </w:p>
        </w:tc>
        <w:tc>
          <w:tcPr>
            <w:tcW w:w="2880" w:type="dxa"/>
          </w:tcPr>
          <w:p w:rsidR="00822733" w:rsidRPr="00A045F1" w:rsidRDefault="00797CFF" w:rsidP="000B2DCB">
            <w:pPr>
              <w:rPr>
                <w:rFonts w:cstheme="minorHAnsi"/>
              </w:rPr>
            </w:pPr>
            <w:r w:rsidRPr="00A045F1">
              <w:rPr>
                <w:rFonts w:cstheme="minorHAnsi"/>
              </w:rPr>
              <w:t>None.</w:t>
            </w:r>
          </w:p>
        </w:tc>
        <w:tc>
          <w:tcPr>
            <w:tcW w:w="3330" w:type="dxa"/>
          </w:tcPr>
          <w:p w:rsidR="00822733" w:rsidRPr="00A045F1" w:rsidRDefault="00797CFF" w:rsidP="00D13EE8">
            <w:pPr>
              <w:rPr>
                <w:rFonts w:cstheme="minorHAnsi"/>
              </w:rPr>
            </w:pPr>
            <w:r w:rsidRPr="00A045F1">
              <w:rPr>
                <w:rFonts w:cstheme="minorHAnsi"/>
              </w:rPr>
              <w:t>None.</w:t>
            </w:r>
          </w:p>
        </w:tc>
      </w:tr>
    </w:tbl>
    <w:p w:rsidR="00822733" w:rsidRPr="00A045F1" w:rsidRDefault="00822733" w:rsidP="002124CB">
      <w:pPr>
        <w:rPr>
          <w:rFonts w:cstheme="minorHAnsi"/>
        </w:rPr>
      </w:pPr>
    </w:p>
    <w:p w:rsidR="009343FD" w:rsidRPr="00A045F1" w:rsidRDefault="009343FD" w:rsidP="00A045F1">
      <w:pPr>
        <w:rPr>
          <w:rFonts w:cstheme="minorHAnsi"/>
        </w:rPr>
      </w:pPr>
    </w:p>
    <w:sectPr w:rsidR="009343FD" w:rsidRPr="00A045F1" w:rsidSect="00A045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DB" w:rsidRDefault="005542DB" w:rsidP="00A045F1">
      <w:r>
        <w:separator/>
      </w:r>
    </w:p>
  </w:endnote>
  <w:endnote w:type="continuationSeparator" w:id="0">
    <w:p w:rsidR="005542DB" w:rsidRDefault="005542DB" w:rsidP="00A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1" w:rsidRDefault="00A04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946790"/>
      <w:docPartObj>
        <w:docPartGallery w:val="Page Numbers (Bottom of Page)"/>
        <w:docPartUnique/>
      </w:docPartObj>
    </w:sdtPr>
    <w:sdtEndPr>
      <w:rPr>
        <w:noProof/>
      </w:rPr>
    </w:sdtEndPr>
    <w:sdtContent>
      <w:p w:rsidR="00A045F1" w:rsidRDefault="00A045F1">
        <w:pPr>
          <w:pStyle w:val="Footer"/>
          <w:jc w:val="center"/>
        </w:pPr>
        <w:r>
          <w:fldChar w:fldCharType="begin"/>
        </w:r>
        <w:r>
          <w:instrText xml:space="preserve"> PAGE   \* MERGEFORMAT </w:instrText>
        </w:r>
        <w:r>
          <w:fldChar w:fldCharType="separate"/>
        </w:r>
        <w:r w:rsidR="00FB7386">
          <w:rPr>
            <w:noProof/>
          </w:rPr>
          <w:t>1</w:t>
        </w:r>
        <w:r>
          <w:rPr>
            <w:noProof/>
          </w:rPr>
          <w:fldChar w:fldCharType="end"/>
        </w:r>
      </w:p>
    </w:sdtContent>
  </w:sdt>
  <w:p w:rsidR="00A045F1" w:rsidRDefault="00A04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1" w:rsidRDefault="00A04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DB" w:rsidRDefault="005542DB" w:rsidP="00A045F1">
      <w:r>
        <w:separator/>
      </w:r>
    </w:p>
  </w:footnote>
  <w:footnote w:type="continuationSeparator" w:id="0">
    <w:p w:rsidR="005542DB" w:rsidRDefault="005542DB" w:rsidP="00A0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1" w:rsidRDefault="00FB73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49438"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DRAFT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1" w:rsidRDefault="00FB73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49439"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DRAFT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1" w:rsidRDefault="00FB73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49437"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RAFT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609CE"/>
    <w:multiLevelType w:val="hybridMultilevel"/>
    <w:tmpl w:val="B01C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B8"/>
    <w:rsid w:val="0001401E"/>
    <w:rsid w:val="000808B8"/>
    <w:rsid w:val="000B2DCB"/>
    <w:rsid w:val="000B36A3"/>
    <w:rsid w:val="00166900"/>
    <w:rsid w:val="00176991"/>
    <w:rsid w:val="00197B8D"/>
    <w:rsid w:val="001F6C98"/>
    <w:rsid w:val="002124CB"/>
    <w:rsid w:val="002436F9"/>
    <w:rsid w:val="00292E8E"/>
    <w:rsid w:val="004B2F28"/>
    <w:rsid w:val="00506D41"/>
    <w:rsid w:val="005542DB"/>
    <w:rsid w:val="00564707"/>
    <w:rsid w:val="005A3498"/>
    <w:rsid w:val="005F7C4A"/>
    <w:rsid w:val="0068786D"/>
    <w:rsid w:val="007279A5"/>
    <w:rsid w:val="00797CFF"/>
    <w:rsid w:val="00822733"/>
    <w:rsid w:val="008D5C76"/>
    <w:rsid w:val="009343FD"/>
    <w:rsid w:val="00950A7B"/>
    <w:rsid w:val="00950FCF"/>
    <w:rsid w:val="00971360"/>
    <w:rsid w:val="009B3761"/>
    <w:rsid w:val="009B74AB"/>
    <w:rsid w:val="00A045F1"/>
    <w:rsid w:val="00AF41BF"/>
    <w:rsid w:val="00BA2A98"/>
    <w:rsid w:val="00BE0247"/>
    <w:rsid w:val="00CE5A51"/>
    <w:rsid w:val="00CF3EC2"/>
    <w:rsid w:val="00D13EE8"/>
    <w:rsid w:val="00D14050"/>
    <w:rsid w:val="00D1630E"/>
    <w:rsid w:val="00D27634"/>
    <w:rsid w:val="00D40235"/>
    <w:rsid w:val="00D627A7"/>
    <w:rsid w:val="00DA4003"/>
    <w:rsid w:val="00E5434F"/>
    <w:rsid w:val="00EF53AB"/>
    <w:rsid w:val="00F44013"/>
    <w:rsid w:val="00F5306E"/>
    <w:rsid w:val="00F933CA"/>
    <w:rsid w:val="00FB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7B"/>
    <w:pPr>
      <w:ind w:left="720"/>
      <w:contextualSpacing/>
    </w:pPr>
  </w:style>
  <w:style w:type="table" w:styleId="TableGrid">
    <w:name w:val="Table Grid"/>
    <w:basedOn w:val="TableNormal"/>
    <w:uiPriority w:val="59"/>
    <w:rsid w:val="00822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634"/>
    <w:rPr>
      <w:rFonts w:ascii="Tahoma" w:hAnsi="Tahoma" w:cs="Tahoma"/>
      <w:sz w:val="16"/>
      <w:szCs w:val="16"/>
    </w:rPr>
  </w:style>
  <w:style w:type="character" w:customStyle="1" w:styleId="BalloonTextChar">
    <w:name w:val="Balloon Text Char"/>
    <w:basedOn w:val="DefaultParagraphFont"/>
    <w:link w:val="BalloonText"/>
    <w:uiPriority w:val="99"/>
    <w:semiHidden/>
    <w:rsid w:val="00D27634"/>
    <w:rPr>
      <w:rFonts w:ascii="Tahoma" w:hAnsi="Tahoma" w:cs="Tahoma"/>
      <w:sz w:val="16"/>
      <w:szCs w:val="16"/>
    </w:rPr>
  </w:style>
  <w:style w:type="paragraph" w:styleId="Header">
    <w:name w:val="header"/>
    <w:basedOn w:val="Normal"/>
    <w:link w:val="HeaderChar"/>
    <w:uiPriority w:val="99"/>
    <w:unhideWhenUsed/>
    <w:rsid w:val="00A045F1"/>
    <w:pPr>
      <w:tabs>
        <w:tab w:val="center" w:pos="4680"/>
        <w:tab w:val="right" w:pos="9360"/>
      </w:tabs>
    </w:pPr>
  </w:style>
  <w:style w:type="character" w:customStyle="1" w:styleId="HeaderChar">
    <w:name w:val="Header Char"/>
    <w:basedOn w:val="DefaultParagraphFont"/>
    <w:link w:val="Header"/>
    <w:uiPriority w:val="99"/>
    <w:rsid w:val="00A045F1"/>
  </w:style>
  <w:style w:type="paragraph" w:styleId="Footer">
    <w:name w:val="footer"/>
    <w:basedOn w:val="Normal"/>
    <w:link w:val="FooterChar"/>
    <w:uiPriority w:val="99"/>
    <w:unhideWhenUsed/>
    <w:rsid w:val="00A045F1"/>
    <w:pPr>
      <w:tabs>
        <w:tab w:val="center" w:pos="4680"/>
        <w:tab w:val="right" w:pos="9360"/>
      </w:tabs>
    </w:pPr>
  </w:style>
  <w:style w:type="character" w:customStyle="1" w:styleId="FooterChar">
    <w:name w:val="Footer Char"/>
    <w:basedOn w:val="DefaultParagraphFont"/>
    <w:link w:val="Footer"/>
    <w:uiPriority w:val="99"/>
    <w:rsid w:val="00A04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7B"/>
    <w:pPr>
      <w:ind w:left="720"/>
      <w:contextualSpacing/>
    </w:pPr>
  </w:style>
  <w:style w:type="table" w:styleId="TableGrid">
    <w:name w:val="Table Grid"/>
    <w:basedOn w:val="TableNormal"/>
    <w:uiPriority w:val="59"/>
    <w:rsid w:val="00822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634"/>
    <w:rPr>
      <w:rFonts w:ascii="Tahoma" w:hAnsi="Tahoma" w:cs="Tahoma"/>
      <w:sz w:val="16"/>
      <w:szCs w:val="16"/>
    </w:rPr>
  </w:style>
  <w:style w:type="character" w:customStyle="1" w:styleId="BalloonTextChar">
    <w:name w:val="Balloon Text Char"/>
    <w:basedOn w:val="DefaultParagraphFont"/>
    <w:link w:val="BalloonText"/>
    <w:uiPriority w:val="99"/>
    <w:semiHidden/>
    <w:rsid w:val="00D27634"/>
    <w:rPr>
      <w:rFonts w:ascii="Tahoma" w:hAnsi="Tahoma" w:cs="Tahoma"/>
      <w:sz w:val="16"/>
      <w:szCs w:val="16"/>
    </w:rPr>
  </w:style>
  <w:style w:type="paragraph" w:styleId="Header">
    <w:name w:val="header"/>
    <w:basedOn w:val="Normal"/>
    <w:link w:val="HeaderChar"/>
    <w:uiPriority w:val="99"/>
    <w:unhideWhenUsed/>
    <w:rsid w:val="00A045F1"/>
    <w:pPr>
      <w:tabs>
        <w:tab w:val="center" w:pos="4680"/>
        <w:tab w:val="right" w:pos="9360"/>
      </w:tabs>
    </w:pPr>
  </w:style>
  <w:style w:type="character" w:customStyle="1" w:styleId="HeaderChar">
    <w:name w:val="Header Char"/>
    <w:basedOn w:val="DefaultParagraphFont"/>
    <w:link w:val="Header"/>
    <w:uiPriority w:val="99"/>
    <w:rsid w:val="00A045F1"/>
  </w:style>
  <w:style w:type="paragraph" w:styleId="Footer">
    <w:name w:val="footer"/>
    <w:basedOn w:val="Normal"/>
    <w:link w:val="FooterChar"/>
    <w:uiPriority w:val="99"/>
    <w:unhideWhenUsed/>
    <w:rsid w:val="00A045F1"/>
    <w:pPr>
      <w:tabs>
        <w:tab w:val="center" w:pos="4680"/>
        <w:tab w:val="right" w:pos="9360"/>
      </w:tabs>
    </w:pPr>
  </w:style>
  <w:style w:type="character" w:customStyle="1" w:styleId="FooterChar">
    <w:name w:val="Footer Char"/>
    <w:basedOn w:val="DefaultParagraphFont"/>
    <w:link w:val="Footer"/>
    <w:uiPriority w:val="99"/>
    <w:rsid w:val="00A0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Staff</cp:lastModifiedBy>
  <cp:revision>2</cp:revision>
  <cp:lastPrinted>2013-04-23T15:41:00Z</cp:lastPrinted>
  <dcterms:created xsi:type="dcterms:W3CDTF">2013-04-23T15:57:00Z</dcterms:created>
  <dcterms:modified xsi:type="dcterms:W3CDTF">2013-04-23T15:57:00Z</dcterms:modified>
</cp:coreProperties>
</file>